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A3209" w14:textId="11444F5E" w:rsidR="00184B36" w:rsidRPr="000A3CC9" w:rsidRDefault="00184B36" w:rsidP="00184B36">
      <w:pPr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t>На кінець 202</w:t>
      </w:r>
      <w:r w:rsidR="001E5268">
        <w:rPr>
          <w:sz w:val="28"/>
          <w:szCs w:val="28"/>
          <w:lang w:val="en-US"/>
        </w:rPr>
        <w:t>3</w:t>
      </w:r>
      <w:r w:rsidRPr="000A3CC9">
        <w:rPr>
          <w:sz w:val="28"/>
          <w:szCs w:val="28"/>
          <w:lang w:val="uk-UA"/>
        </w:rPr>
        <w:t>/202</w:t>
      </w:r>
      <w:r w:rsidR="001E5268">
        <w:rPr>
          <w:sz w:val="28"/>
          <w:szCs w:val="28"/>
          <w:lang w:val="en-US"/>
        </w:rPr>
        <w:t>4</w:t>
      </w:r>
      <w:r w:rsidRPr="000A3CC9">
        <w:rPr>
          <w:sz w:val="28"/>
          <w:szCs w:val="28"/>
          <w:lang w:val="uk-UA"/>
        </w:rPr>
        <w:t xml:space="preserve"> навчального року в санаторній школі знаходились під наглядом 18</w:t>
      </w:r>
      <w:r w:rsidR="001E5268">
        <w:rPr>
          <w:sz w:val="28"/>
          <w:szCs w:val="28"/>
          <w:lang w:val="en-US"/>
        </w:rPr>
        <w:t>2</w:t>
      </w:r>
      <w:r w:rsidRPr="000A3CC9">
        <w:rPr>
          <w:sz w:val="28"/>
          <w:szCs w:val="28"/>
          <w:lang w:val="uk-UA"/>
        </w:rPr>
        <w:t xml:space="preserve"> д</w:t>
      </w:r>
      <w:r w:rsidR="001E5268">
        <w:rPr>
          <w:sz w:val="28"/>
          <w:szCs w:val="28"/>
          <w:lang w:val="uk-UA"/>
        </w:rPr>
        <w:t>итини</w:t>
      </w:r>
      <w:r w:rsidRPr="000A3CC9">
        <w:rPr>
          <w:sz w:val="28"/>
          <w:szCs w:val="28"/>
          <w:lang w:val="uk-UA"/>
        </w:rPr>
        <w:t xml:space="preserve"> із захворюваннями серцево- судинної системи та супутньої патології інших органів і систем.</w:t>
      </w:r>
    </w:p>
    <w:p w14:paraId="3EFE3D6A" w14:textId="1B01AFF9" w:rsidR="00184B36" w:rsidRPr="000A3CC9" w:rsidRDefault="00184B36" w:rsidP="00184B36">
      <w:pPr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t>В зв’язку з воєнним станом та території України змінилась тимчасово форма оздоровлення дітей. Так восени 202</w:t>
      </w:r>
      <w:r w:rsidR="001E5268">
        <w:rPr>
          <w:sz w:val="28"/>
          <w:szCs w:val="28"/>
          <w:lang w:val="uk-UA"/>
        </w:rPr>
        <w:t>3</w:t>
      </w:r>
      <w:r w:rsidRPr="000A3CC9">
        <w:rPr>
          <w:sz w:val="28"/>
          <w:szCs w:val="28"/>
          <w:lang w:val="uk-UA"/>
        </w:rPr>
        <w:t xml:space="preserve"> року та навесні 20</w:t>
      </w:r>
      <w:r w:rsidR="001E5268">
        <w:rPr>
          <w:sz w:val="28"/>
          <w:szCs w:val="28"/>
          <w:lang w:val="uk-UA"/>
        </w:rPr>
        <w:t>24</w:t>
      </w:r>
      <w:r w:rsidRPr="000A3CC9">
        <w:rPr>
          <w:sz w:val="28"/>
          <w:szCs w:val="28"/>
          <w:lang w:val="uk-UA"/>
        </w:rPr>
        <w:t xml:space="preserve"> року були проведені медичні огляди дітей згідно графіка, наданого вихователями.</w:t>
      </w:r>
    </w:p>
    <w:p w14:paraId="676E6D29" w14:textId="77777777" w:rsidR="00184B36" w:rsidRPr="000A3CC9" w:rsidRDefault="00184B36" w:rsidP="00184B36">
      <w:pPr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t xml:space="preserve">Згідно профілю  санаторної школи  </w:t>
      </w:r>
      <w:proofErr w:type="spellStart"/>
      <w:r w:rsidRPr="000A3CC9">
        <w:rPr>
          <w:sz w:val="28"/>
          <w:szCs w:val="28"/>
          <w:lang w:val="uk-UA"/>
        </w:rPr>
        <w:t>назологічна</w:t>
      </w:r>
      <w:proofErr w:type="spellEnd"/>
      <w:r w:rsidRPr="000A3CC9">
        <w:rPr>
          <w:sz w:val="28"/>
          <w:szCs w:val="28"/>
          <w:lang w:val="uk-UA"/>
        </w:rPr>
        <w:t xml:space="preserve"> патологія </w:t>
      </w:r>
      <w:proofErr w:type="spellStart"/>
      <w:r w:rsidRPr="000A3CC9">
        <w:rPr>
          <w:sz w:val="28"/>
          <w:szCs w:val="28"/>
          <w:lang w:val="uk-UA"/>
        </w:rPr>
        <w:t>хвороб</w:t>
      </w:r>
      <w:proofErr w:type="spellEnd"/>
      <w:r w:rsidRPr="000A3CC9">
        <w:rPr>
          <w:sz w:val="28"/>
          <w:szCs w:val="28"/>
          <w:lang w:val="uk-UA"/>
        </w:rPr>
        <w:t xml:space="preserve">  системи органів кровообігу серед дітей  розподілилась  так :         </w:t>
      </w:r>
    </w:p>
    <w:p w14:paraId="125E9B7C" w14:textId="77777777" w:rsidR="00184B36" w:rsidRDefault="00184B36" w:rsidP="00184B36">
      <w:pPr>
        <w:tabs>
          <w:tab w:val="center" w:pos="4677"/>
        </w:tabs>
        <w:ind w:left="-227"/>
        <w:rPr>
          <w:i/>
          <w:sz w:val="28"/>
          <w:szCs w:val="28"/>
          <w:lang w:val="uk-UA"/>
        </w:rPr>
      </w:pPr>
    </w:p>
    <w:p w14:paraId="527F9280" w14:textId="77777777" w:rsidR="00184B36" w:rsidRPr="000A3CC9" w:rsidRDefault="00184B36" w:rsidP="00184B36">
      <w:pPr>
        <w:tabs>
          <w:tab w:val="center" w:pos="4677"/>
        </w:tabs>
        <w:ind w:left="-227"/>
        <w:rPr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9"/>
        <w:gridCol w:w="1337"/>
        <w:gridCol w:w="940"/>
      </w:tblGrid>
      <w:tr w:rsidR="00184B36" w:rsidRPr="000A3CC9" w14:paraId="581DA660" w14:textId="77777777" w:rsidTr="00C75CA5">
        <w:tc>
          <w:tcPr>
            <w:tcW w:w="0" w:type="auto"/>
          </w:tcPr>
          <w:p w14:paraId="03242A05" w14:textId="77777777" w:rsidR="00184B36" w:rsidRPr="000A3CC9" w:rsidRDefault="00184B36" w:rsidP="00C75CA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A3CC9">
              <w:rPr>
                <w:sz w:val="28"/>
                <w:szCs w:val="28"/>
                <w:lang w:val="uk-UA"/>
              </w:rPr>
              <w:t>Назологія</w:t>
            </w:r>
            <w:proofErr w:type="spellEnd"/>
          </w:p>
        </w:tc>
        <w:tc>
          <w:tcPr>
            <w:tcW w:w="0" w:type="auto"/>
          </w:tcPr>
          <w:p w14:paraId="1D6CBC6A" w14:textId="77777777" w:rsidR="00184B36" w:rsidRPr="000A3CC9" w:rsidRDefault="00184B36" w:rsidP="00C75CA5">
            <w:pPr>
              <w:jc w:val="center"/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0" w:type="auto"/>
          </w:tcPr>
          <w:p w14:paraId="6F84E3A2" w14:textId="77777777" w:rsidR="00184B36" w:rsidRPr="000A3CC9" w:rsidRDefault="00184B36" w:rsidP="00C75CA5">
            <w:pPr>
              <w:jc w:val="center"/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 xml:space="preserve">%    </w:t>
            </w:r>
          </w:p>
        </w:tc>
      </w:tr>
      <w:tr w:rsidR="00184B36" w:rsidRPr="000A3CC9" w14:paraId="1F7E538D" w14:textId="77777777" w:rsidTr="00C75CA5">
        <w:tc>
          <w:tcPr>
            <w:tcW w:w="0" w:type="auto"/>
          </w:tcPr>
          <w:p w14:paraId="048499B4" w14:textId="77777777" w:rsidR="00184B36" w:rsidRPr="000A3CC9" w:rsidRDefault="00184B36" w:rsidP="00C75CA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A3CC9">
              <w:rPr>
                <w:sz w:val="28"/>
                <w:szCs w:val="28"/>
                <w:lang w:val="uk-UA"/>
              </w:rPr>
              <w:t>Диспластична</w:t>
            </w:r>
            <w:proofErr w:type="spellEnd"/>
            <w:r w:rsidRPr="000A3C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3CC9">
              <w:rPr>
                <w:sz w:val="28"/>
                <w:szCs w:val="28"/>
                <w:lang w:val="uk-UA"/>
              </w:rPr>
              <w:t>кардіоміопатія.ПМК</w:t>
            </w:r>
            <w:proofErr w:type="spellEnd"/>
            <w:r w:rsidRPr="000A3CC9">
              <w:rPr>
                <w:sz w:val="28"/>
                <w:szCs w:val="28"/>
                <w:lang w:val="uk-UA"/>
              </w:rPr>
              <w:t>,</w:t>
            </w:r>
          </w:p>
          <w:p w14:paraId="6E094649" w14:textId="77777777" w:rsidR="00184B36" w:rsidRPr="000A3CC9" w:rsidRDefault="00184B36" w:rsidP="00C75CA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A3CC9">
              <w:rPr>
                <w:sz w:val="28"/>
                <w:szCs w:val="28"/>
                <w:lang w:val="uk-UA"/>
              </w:rPr>
              <w:t>Диспластичні</w:t>
            </w:r>
            <w:proofErr w:type="spellEnd"/>
            <w:r w:rsidRPr="000A3CC9">
              <w:rPr>
                <w:sz w:val="28"/>
                <w:szCs w:val="28"/>
                <w:lang w:val="uk-UA"/>
              </w:rPr>
              <w:t xml:space="preserve"> зміни клапанного </w:t>
            </w:r>
            <w:proofErr w:type="spellStart"/>
            <w:r w:rsidRPr="000A3CC9">
              <w:rPr>
                <w:sz w:val="28"/>
                <w:szCs w:val="28"/>
                <w:lang w:val="uk-UA"/>
              </w:rPr>
              <w:t>аппарату</w:t>
            </w:r>
            <w:proofErr w:type="spellEnd"/>
          </w:p>
        </w:tc>
        <w:tc>
          <w:tcPr>
            <w:tcW w:w="0" w:type="auto"/>
          </w:tcPr>
          <w:p w14:paraId="74DA4BB0" w14:textId="503E9F90" w:rsidR="00184B36" w:rsidRPr="001E5268" w:rsidRDefault="00184B36" w:rsidP="00C75CA5">
            <w:pPr>
              <w:jc w:val="center"/>
              <w:rPr>
                <w:sz w:val="28"/>
                <w:szCs w:val="28"/>
                <w:lang w:val="en-US"/>
              </w:rPr>
            </w:pPr>
            <w:r w:rsidRPr="000A3CC9">
              <w:rPr>
                <w:sz w:val="28"/>
                <w:szCs w:val="28"/>
                <w:lang w:val="uk-UA"/>
              </w:rPr>
              <w:t>1</w:t>
            </w:r>
            <w:r w:rsidR="001E5268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0" w:type="auto"/>
          </w:tcPr>
          <w:p w14:paraId="759691CD" w14:textId="76F3BEFD" w:rsidR="00184B36" w:rsidRPr="000A3CC9" w:rsidRDefault="00184B36" w:rsidP="00C75CA5">
            <w:pPr>
              <w:jc w:val="center"/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6</w:t>
            </w:r>
            <w:r w:rsidR="001E5268">
              <w:rPr>
                <w:sz w:val="28"/>
                <w:szCs w:val="28"/>
                <w:lang w:val="en-US"/>
              </w:rPr>
              <w:t>4</w:t>
            </w:r>
            <w:r w:rsidRPr="000A3CC9">
              <w:rPr>
                <w:sz w:val="28"/>
                <w:szCs w:val="28"/>
                <w:lang w:val="uk-UA"/>
              </w:rPr>
              <w:t>,</w:t>
            </w:r>
            <w:r w:rsidR="001E5268">
              <w:rPr>
                <w:sz w:val="28"/>
                <w:szCs w:val="28"/>
                <w:lang w:val="en-US"/>
              </w:rPr>
              <w:t>8</w:t>
            </w:r>
            <w:r w:rsidRPr="000A3CC9">
              <w:rPr>
                <w:sz w:val="28"/>
                <w:szCs w:val="28"/>
                <w:lang w:val="uk-UA"/>
              </w:rPr>
              <w:t>%</w:t>
            </w:r>
          </w:p>
          <w:p w14:paraId="2C6450D9" w14:textId="77777777" w:rsidR="00184B36" w:rsidRPr="000A3CC9" w:rsidRDefault="00184B36" w:rsidP="00C75CA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84B36" w:rsidRPr="000A3CC9" w14:paraId="2123518C" w14:textId="77777777" w:rsidTr="00C75CA5">
        <w:tc>
          <w:tcPr>
            <w:tcW w:w="0" w:type="auto"/>
          </w:tcPr>
          <w:p w14:paraId="4C57FCF9" w14:textId="77777777" w:rsidR="00184B36" w:rsidRPr="000A3CC9" w:rsidRDefault="00184B36" w:rsidP="00C75CA5">
            <w:pPr>
              <w:jc w:val="center"/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Вторинна кардіоміопатія</w:t>
            </w:r>
          </w:p>
        </w:tc>
        <w:tc>
          <w:tcPr>
            <w:tcW w:w="0" w:type="auto"/>
          </w:tcPr>
          <w:p w14:paraId="6690B180" w14:textId="72778FB7" w:rsidR="00184B36" w:rsidRPr="001E5268" w:rsidRDefault="00184B36" w:rsidP="00C75CA5">
            <w:pPr>
              <w:jc w:val="center"/>
              <w:rPr>
                <w:sz w:val="28"/>
                <w:szCs w:val="28"/>
                <w:lang w:val="en-US"/>
              </w:rPr>
            </w:pPr>
            <w:r w:rsidRPr="000A3CC9">
              <w:rPr>
                <w:sz w:val="28"/>
                <w:szCs w:val="28"/>
                <w:lang w:val="uk-UA"/>
              </w:rPr>
              <w:t>2</w:t>
            </w:r>
            <w:r w:rsidR="001E526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</w:tcPr>
          <w:p w14:paraId="57F65B8F" w14:textId="7BA17C68" w:rsidR="00184B36" w:rsidRPr="000A3CC9" w:rsidRDefault="00184B36" w:rsidP="00C75CA5">
            <w:pPr>
              <w:jc w:val="center"/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1</w:t>
            </w:r>
            <w:r w:rsidR="001E5268">
              <w:rPr>
                <w:sz w:val="28"/>
                <w:szCs w:val="28"/>
                <w:lang w:val="en-US"/>
              </w:rPr>
              <w:t>5</w:t>
            </w:r>
            <w:r w:rsidRPr="000A3CC9">
              <w:rPr>
                <w:sz w:val="28"/>
                <w:szCs w:val="28"/>
                <w:lang w:val="uk-UA"/>
              </w:rPr>
              <w:t>,</w:t>
            </w:r>
            <w:r w:rsidR="001E5268">
              <w:rPr>
                <w:sz w:val="28"/>
                <w:szCs w:val="28"/>
                <w:lang w:val="en-US"/>
              </w:rPr>
              <w:t>4</w:t>
            </w:r>
            <w:r w:rsidRPr="000A3CC9">
              <w:rPr>
                <w:sz w:val="28"/>
                <w:szCs w:val="28"/>
                <w:lang w:val="uk-UA"/>
              </w:rPr>
              <w:t>%</w:t>
            </w:r>
          </w:p>
        </w:tc>
      </w:tr>
      <w:tr w:rsidR="00184B36" w:rsidRPr="000A3CC9" w14:paraId="445E8BEF" w14:textId="77777777" w:rsidTr="00C75CA5">
        <w:tc>
          <w:tcPr>
            <w:tcW w:w="0" w:type="auto"/>
          </w:tcPr>
          <w:p w14:paraId="62FC1E1B" w14:textId="77777777" w:rsidR="00184B36" w:rsidRPr="000A3CC9" w:rsidRDefault="00184B36" w:rsidP="00C75CA5">
            <w:pPr>
              <w:jc w:val="center"/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Вроджені вади системи кровообігу</w:t>
            </w:r>
          </w:p>
        </w:tc>
        <w:tc>
          <w:tcPr>
            <w:tcW w:w="0" w:type="auto"/>
          </w:tcPr>
          <w:p w14:paraId="7D1BDF20" w14:textId="43369EFD" w:rsidR="00184B36" w:rsidRPr="001E5268" w:rsidRDefault="001E5268" w:rsidP="00C75C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0" w:type="auto"/>
          </w:tcPr>
          <w:p w14:paraId="314BCF5A" w14:textId="7DD2F747" w:rsidR="00184B36" w:rsidRPr="000A3CC9" w:rsidRDefault="00184B36" w:rsidP="00C75CA5">
            <w:pPr>
              <w:jc w:val="center"/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2</w:t>
            </w:r>
            <w:r w:rsidR="001E5268">
              <w:rPr>
                <w:sz w:val="28"/>
                <w:szCs w:val="28"/>
                <w:lang w:val="en-US"/>
              </w:rPr>
              <w:t>9</w:t>
            </w:r>
            <w:r w:rsidRPr="000A3CC9">
              <w:rPr>
                <w:sz w:val="28"/>
                <w:szCs w:val="28"/>
                <w:lang w:val="uk-UA"/>
              </w:rPr>
              <w:t>,1%</w:t>
            </w:r>
          </w:p>
        </w:tc>
      </w:tr>
      <w:tr w:rsidR="00184B36" w:rsidRPr="000A3CC9" w14:paraId="1C96823A" w14:textId="77777777" w:rsidTr="00C75CA5">
        <w:trPr>
          <w:trHeight w:val="351"/>
        </w:trPr>
        <w:tc>
          <w:tcPr>
            <w:tcW w:w="0" w:type="auto"/>
          </w:tcPr>
          <w:p w14:paraId="7A2B1A4D" w14:textId="77777777" w:rsidR="00184B36" w:rsidRPr="000A3CC9" w:rsidRDefault="00184B36" w:rsidP="00C75CA5">
            <w:pPr>
              <w:jc w:val="center"/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Порушення ритму та провідності серця</w:t>
            </w:r>
          </w:p>
        </w:tc>
        <w:tc>
          <w:tcPr>
            <w:tcW w:w="0" w:type="auto"/>
          </w:tcPr>
          <w:p w14:paraId="629CEAF1" w14:textId="7D9C18DF" w:rsidR="00184B36" w:rsidRPr="001E5268" w:rsidRDefault="00184B36" w:rsidP="00C75CA5">
            <w:pPr>
              <w:jc w:val="center"/>
              <w:rPr>
                <w:sz w:val="28"/>
                <w:szCs w:val="28"/>
                <w:lang w:val="en-US"/>
              </w:rPr>
            </w:pPr>
            <w:r w:rsidRPr="000A3CC9">
              <w:rPr>
                <w:sz w:val="28"/>
                <w:szCs w:val="28"/>
                <w:lang w:val="uk-UA"/>
              </w:rPr>
              <w:t>4</w:t>
            </w:r>
            <w:r w:rsidR="001E526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14:paraId="38EDF9D7" w14:textId="485EF55E" w:rsidR="00184B36" w:rsidRPr="000A3CC9" w:rsidRDefault="00184B36" w:rsidP="00C75CA5">
            <w:pPr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26,</w:t>
            </w:r>
            <w:r w:rsidR="001E5268">
              <w:rPr>
                <w:sz w:val="28"/>
                <w:szCs w:val="28"/>
                <w:lang w:val="en-US"/>
              </w:rPr>
              <w:t>9</w:t>
            </w:r>
            <w:r w:rsidRPr="000A3CC9">
              <w:rPr>
                <w:sz w:val="28"/>
                <w:szCs w:val="28"/>
                <w:lang w:val="uk-UA"/>
              </w:rPr>
              <w:t>%</w:t>
            </w:r>
          </w:p>
        </w:tc>
      </w:tr>
      <w:tr w:rsidR="00184B36" w:rsidRPr="000A3CC9" w14:paraId="6D2ED805" w14:textId="77777777" w:rsidTr="00C75CA5">
        <w:trPr>
          <w:trHeight w:val="412"/>
        </w:trPr>
        <w:tc>
          <w:tcPr>
            <w:tcW w:w="0" w:type="auto"/>
          </w:tcPr>
          <w:p w14:paraId="550EABBC" w14:textId="77777777" w:rsidR="00184B36" w:rsidRPr="000A3CC9" w:rsidRDefault="00184B36" w:rsidP="00C75CA5">
            <w:pPr>
              <w:jc w:val="center"/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Вегето-судинна дистонія(дисфункція)</w:t>
            </w:r>
          </w:p>
        </w:tc>
        <w:tc>
          <w:tcPr>
            <w:tcW w:w="0" w:type="auto"/>
          </w:tcPr>
          <w:p w14:paraId="2EDF1BC5" w14:textId="5CB6863A" w:rsidR="00184B36" w:rsidRPr="001E5268" w:rsidRDefault="00184B36" w:rsidP="00C75CA5">
            <w:pPr>
              <w:jc w:val="center"/>
              <w:rPr>
                <w:sz w:val="28"/>
                <w:szCs w:val="28"/>
                <w:lang w:val="en-US"/>
              </w:rPr>
            </w:pPr>
            <w:r w:rsidRPr="000A3CC9">
              <w:rPr>
                <w:sz w:val="28"/>
                <w:szCs w:val="28"/>
                <w:lang w:val="uk-UA"/>
              </w:rPr>
              <w:t>1</w:t>
            </w:r>
            <w:r w:rsidR="001E5268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</w:tcPr>
          <w:p w14:paraId="4039318D" w14:textId="5F243FD5" w:rsidR="00184B36" w:rsidRPr="000A3CC9" w:rsidRDefault="001E5268" w:rsidP="00C75C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  <w:r w:rsidR="00184B36" w:rsidRPr="000A3CC9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 w:rsidR="00184B36" w:rsidRPr="000A3CC9">
              <w:rPr>
                <w:sz w:val="28"/>
                <w:szCs w:val="28"/>
                <w:lang w:val="uk-UA"/>
              </w:rPr>
              <w:t>%</w:t>
            </w:r>
          </w:p>
        </w:tc>
      </w:tr>
    </w:tbl>
    <w:p w14:paraId="392223F0" w14:textId="77777777" w:rsidR="00184B36" w:rsidRPr="000A3CC9" w:rsidRDefault="00184B36" w:rsidP="00184B36">
      <w:pPr>
        <w:rPr>
          <w:sz w:val="28"/>
          <w:szCs w:val="28"/>
          <w:lang w:val="uk-UA"/>
        </w:rPr>
      </w:pPr>
    </w:p>
    <w:p w14:paraId="6DC98C38" w14:textId="77777777" w:rsidR="00184B36" w:rsidRPr="000A3CC9" w:rsidRDefault="00184B36" w:rsidP="00184B36">
      <w:pPr>
        <w:rPr>
          <w:sz w:val="28"/>
          <w:szCs w:val="28"/>
          <w:lang w:val="uk-UA"/>
        </w:rPr>
      </w:pPr>
    </w:p>
    <w:p w14:paraId="68153EF8" w14:textId="77777777" w:rsidR="00184B36" w:rsidRPr="000A3CC9" w:rsidRDefault="00184B36" w:rsidP="00184B36">
      <w:pPr>
        <w:rPr>
          <w:sz w:val="28"/>
          <w:szCs w:val="28"/>
          <w:lang w:val="uk-UA"/>
        </w:rPr>
      </w:pPr>
    </w:p>
    <w:p w14:paraId="121DAF66" w14:textId="77777777" w:rsidR="00184B36" w:rsidRPr="000A3CC9" w:rsidRDefault="00184B36" w:rsidP="00184B36">
      <w:pPr>
        <w:rPr>
          <w:sz w:val="28"/>
          <w:szCs w:val="28"/>
          <w:lang w:val="uk-UA"/>
        </w:rPr>
      </w:pPr>
      <w:r w:rsidRPr="000A3CC9">
        <w:rPr>
          <w:noProof/>
          <w:sz w:val="28"/>
          <w:szCs w:val="28"/>
        </w:rPr>
        <w:lastRenderedPageBreak/>
        <w:drawing>
          <wp:inline distT="0" distB="0" distL="0" distR="0" wp14:anchorId="286C9192" wp14:editId="1953413D">
            <wp:extent cx="4752975" cy="3038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7DEA6D6" w14:textId="77777777" w:rsidR="00184B36" w:rsidRPr="000A3CC9" w:rsidRDefault="00184B36" w:rsidP="00184B36">
      <w:pPr>
        <w:rPr>
          <w:sz w:val="28"/>
          <w:szCs w:val="28"/>
          <w:lang w:val="uk-UA"/>
        </w:rPr>
      </w:pPr>
    </w:p>
    <w:p w14:paraId="53B31DDB" w14:textId="7C148C3F" w:rsidR="00184B36" w:rsidRPr="000A3CC9" w:rsidRDefault="00184B36" w:rsidP="00184B36">
      <w:pPr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t xml:space="preserve">Діти приходили на медичні огляди разом з батьками. Була проведена антропометрія, вимірювання артеріального тиску, пульсу температури, частоти дихання, загальний огляд дітей лікарем, після чого батькам під розпис були видані медикаменти на курси </w:t>
      </w:r>
      <w:proofErr w:type="spellStart"/>
      <w:r w:rsidRPr="000A3CC9">
        <w:rPr>
          <w:sz w:val="28"/>
          <w:szCs w:val="28"/>
          <w:lang w:val="uk-UA"/>
        </w:rPr>
        <w:t>протирецидивної</w:t>
      </w:r>
      <w:proofErr w:type="spellEnd"/>
      <w:r w:rsidRPr="000A3CC9">
        <w:rPr>
          <w:sz w:val="28"/>
          <w:szCs w:val="28"/>
          <w:lang w:val="uk-UA"/>
        </w:rPr>
        <w:t xml:space="preserve">, </w:t>
      </w:r>
      <w:proofErr w:type="spellStart"/>
      <w:r w:rsidRPr="000A3CC9">
        <w:rPr>
          <w:sz w:val="28"/>
          <w:szCs w:val="28"/>
          <w:lang w:val="uk-UA"/>
        </w:rPr>
        <w:t>кардіотрофічної</w:t>
      </w:r>
      <w:proofErr w:type="spellEnd"/>
      <w:r w:rsidRPr="000A3CC9">
        <w:rPr>
          <w:sz w:val="28"/>
          <w:szCs w:val="28"/>
          <w:lang w:val="uk-UA"/>
        </w:rPr>
        <w:t xml:space="preserve"> та </w:t>
      </w:r>
      <w:proofErr w:type="spellStart"/>
      <w:r w:rsidRPr="000A3CC9">
        <w:rPr>
          <w:sz w:val="28"/>
          <w:szCs w:val="28"/>
          <w:lang w:val="uk-UA"/>
        </w:rPr>
        <w:t>загальноукріплюючої</w:t>
      </w:r>
      <w:proofErr w:type="spellEnd"/>
      <w:r w:rsidRPr="000A3CC9">
        <w:rPr>
          <w:sz w:val="28"/>
          <w:szCs w:val="28"/>
          <w:lang w:val="uk-UA"/>
        </w:rPr>
        <w:t xml:space="preserve"> терапії та були надані рекомендації щодо режиму дня, сну, харчування та фізичного навантаження для кожної дитини індивідуально. Крім тих, які на той  час знаходились за кордоном.  Цим дітям  протягом 202</w:t>
      </w:r>
      <w:r w:rsidR="001E5268">
        <w:rPr>
          <w:sz w:val="28"/>
          <w:szCs w:val="28"/>
          <w:lang w:val="uk-UA"/>
        </w:rPr>
        <w:t>3</w:t>
      </w:r>
      <w:r w:rsidRPr="000A3CC9">
        <w:rPr>
          <w:sz w:val="28"/>
          <w:szCs w:val="28"/>
          <w:lang w:val="uk-UA"/>
        </w:rPr>
        <w:t>/202</w:t>
      </w:r>
      <w:r w:rsidR="001E5268">
        <w:rPr>
          <w:sz w:val="28"/>
          <w:szCs w:val="28"/>
          <w:lang w:val="uk-UA"/>
        </w:rPr>
        <w:t>4</w:t>
      </w:r>
      <w:r w:rsidRPr="000A3CC9">
        <w:rPr>
          <w:sz w:val="28"/>
          <w:szCs w:val="28"/>
          <w:lang w:val="uk-UA"/>
        </w:rPr>
        <w:t xml:space="preserve"> навчального року при необхідності надавались онлайн-консультації лікаря.</w:t>
      </w:r>
      <w:r w:rsidR="00BA2AE4">
        <w:rPr>
          <w:sz w:val="28"/>
          <w:szCs w:val="28"/>
          <w:lang w:val="uk-UA"/>
        </w:rPr>
        <w:t xml:space="preserve"> </w:t>
      </w:r>
    </w:p>
    <w:p w14:paraId="198D4AA7" w14:textId="460980BB" w:rsidR="00184B36" w:rsidRPr="000A3CC9" w:rsidRDefault="00184B36" w:rsidP="00184B36">
      <w:pPr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tab/>
        <w:t xml:space="preserve">Порівняно з минулим роком зросли показники дітей із </w:t>
      </w:r>
      <w:r w:rsidR="001E5268">
        <w:rPr>
          <w:sz w:val="28"/>
          <w:szCs w:val="28"/>
          <w:lang w:val="uk-UA"/>
        </w:rPr>
        <w:t xml:space="preserve">порушенням ритму серця та провідності </w:t>
      </w:r>
      <w:r w:rsidRPr="000A3CC9">
        <w:rPr>
          <w:sz w:val="28"/>
          <w:szCs w:val="28"/>
          <w:lang w:val="uk-UA"/>
        </w:rPr>
        <w:t xml:space="preserve">та вегетативної дисфункції на </w:t>
      </w:r>
      <w:r w:rsidR="001E5268">
        <w:rPr>
          <w:sz w:val="28"/>
          <w:szCs w:val="28"/>
          <w:lang w:val="uk-UA"/>
        </w:rPr>
        <w:t>3,2</w:t>
      </w:r>
      <w:r w:rsidRPr="000A3CC9">
        <w:rPr>
          <w:sz w:val="28"/>
          <w:szCs w:val="28"/>
          <w:lang w:val="uk-UA"/>
        </w:rPr>
        <w:t xml:space="preserve">%, що вказує на негативний вплив навколишнього середовища, збільшення </w:t>
      </w:r>
      <w:proofErr w:type="spellStart"/>
      <w:r w:rsidRPr="000A3CC9">
        <w:rPr>
          <w:sz w:val="28"/>
          <w:szCs w:val="28"/>
          <w:lang w:val="uk-UA"/>
        </w:rPr>
        <w:t>стресогених</w:t>
      </w:r>
      <w:proofErr w:type="spellEnd"/>
      <w:r w:rsidRPr="000A3CC9">
        <w:rPr>
          <w:sz w:val="28"/>
          <w:szCs w:val="28"/>
          <w:lang w:val="uk-UA"/>
        </w:rPr>
        <w:t xml:space="preserve"> факторів в житті дітей, особливо, пов’язаних з воєнними діями в даний час.</w:t>
      </w:r>
      <w:r w:rsidR="001E5268">
        <w:rPr>
          <w:sz w:val="28"/>
          <w:szCs w:val="28"/>
          <w:lang w:val="uk-UA"/>
        </w:rPr>
        <w:t xml:space="preserve"> Великий відсоток дітей (64,8%) мають </w:t>
      </w:r>
      <w:proofErr w:type="spellStart"/>
      <w:r w:rsidR="001E5268">
        <w:rPr>
          <w:sz w:val="28"/>
          <w:szCs w:val="28"/>
          <w:lang w:val="uk-UA"/>
        </w:rPr>
        <w:t>диспластичні</w:t>
      </w:r>
      <w:proofErr w:type="spellEnd"/>
      <w:r w:rsidR="001E5268">
        <w:rPr>
          <w:sz w:val="28"/>
          <w:szCs w:val="28"/>
          <w:lang w:val="uk-UA"/>
        </w:rPr>
        <w:t xml:space="preserve"> зміни клапанного апарату, ПМК, ПТК </w:t>
      </w:r>
      <w:r w:rsidRPr="000A3CC9">
        <w:rPr>
          <w:sz w:val="28"/>
          <w:szCs w:val="28"/>
          <w:lang w:val="uk-UA"/>
        </w:rPr>
        <w:t xml:space="preserve">. </w:t>
      </w:r>
      <w:r w:rsidR="00BA2AE4">
        <w:rPr>
          <w:sz w:val="28"/>
          <w:szCs w:val="28"/>
          <w:lang w:val="uk-UA"/>
        </w:rPr>
        <w:t xml:space="preserve">Постійно збільшується </w:t>
      </w:r>
      <w:r w:rsidR="00BA2AE4">
        <w:rPr>
          <w:sz w:val="28"/>
          <w:szCs w:val="28"/>
          <w:lang w:val="uk-UA"/>
        </w:rPr>
        <w:t xml:space="preserve">відсоток </w:t>
      </w:r>
      <w:r w:rsidR="00BA2AE4">
        <w:rPr>
          <w:sz w:val="28"/>
          <w:szCs w:val="28"/>
          <w:lang w:val="uk-UA"/>
        </w:rPr>
        <w:t>дітей з вродженими вадами системи кровообігу: ВВС та відкритим овальним вікном (в цьому році на 30%).</w:t>
      </w:r>
    </w:p>
    <w:p w14:paraId="5C75B851" w14:textId="66581520" w:rsidR="00184B36" w:rsidRPr="000A3CC9" w:rsidRDefault="00184B36" w:rsidP="00184B36">
      <w:pPr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tab/>
        <w:t>Нажаль, в умовах воєнного часу своєчасне контрольне обстеження пройшла лише частина дітей.</w:t>
      </w:r>
    </w:p>
    <w:p w14:paraId="2B2CD87D" w14:textId="6BBCC5EB" w:rsidR="00184B36" w:rsidRPr="000A3CC9" w:rsidRDefault="00184B36" w:rsidP="00184B36">
      <w:pPr>
        <w:ind w:firstLine="708"/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lastRenderedPageBreak/>
        <w:t>Зрос</w:t>
      </w:r>
      <w:r w:rsidR="00BA2AE4">
        <w:rPr>
          <w:sz w:val="28"/>
          <w:szCs w:val="28"/>
          <w:lang w:val="uk-UA"/>
        </w:rPr>
        <w:t>тає</w:t>
      </w:r>
      <w:r w:rsidRPr="000A3CC9">
        <w:rPr>
          <w:sz w:val="28"/>
          <w:szCs w:val="28"/>
          <w:lang w:val="uk-UA"/>
        </w:rPr>
        <w:t xml:space="preserve">  кількість дітей з патологією опорно-рухового апарату  </w:t>
      </w:r>
      <w:r w:rsidR="00BA2AE4">
        <w:rPr>
          <w:sz w:val="28"/>
          <w:szCs w:val="28"/>
          <w:lang w:val="uk-UA"/>
        </w:rPr>
        <w:t>43</w:t>
      </w:r>
      <w:r w:rsidRPr="000A3CC9">
        <w:rPr>
          <w:sz w:val="28"/>
          <w:szCs w:val="28"/>
          <w:lang w:val="uk-UA"/>
        </w:rPr>
        <w:t xml:space="preserve">% дітей від загальної кількості (тобто кожний другий) за рахунок порушення постави та </w:t>
      </w:r>
      <w:proofErr w:type="spellStart"/>
      <w:r w:rsidRPr="000A3CC9">
        <w:rPr>
          <w:sz w:val="28"/>
          <w:szCs w:val="28"/>
          <w:lang w:val="uk-UA"/>
        </w:rPr>
        <w:t>плосковальгусної</w:t>
      </w:r>
      <w:proofErr w:type="spellEnd"/>
      <w:r w:rsidRPr="000A3CC9">
        <w:rPr>
          <w:sz w:val="28"/>
          <w:szCs w:val="28"/>
          <w:lang w:val="uk-UA"/>
        </w:rPr>
        <w:t xml:space="preserve"> деформації стоп, що пов’язано з гіподинамією та довгим статичним навантаженням (довготривале і не завжди правильне сидіння). Зростає кількість метаболічних порушень, особливо у дітей з ожирінням та з надлишковою вагою тіла </w:t>
      </w:r>
      <w:r w:rsidR="00BA2AE4">
        <w:rPr>
          <w:sz w:val="28"/>
          <w:szCs w:val="28"/>
          <w:lang w:val="uk-UA"/>
        </w:rPr>
        <w:t>на</w:t>
      </w:r>
      <w:r w:rsidRPr="000A3CC9">
        <w:rPr>
          <w:sz w:val="28"/>
          <w:szCs w:val="28"/>
          <w:lang w:val="uk-UA"/>
        </w:rPr>
        <w:t xml:space="preserve"> </w:t>
      </w:r>
      <w:r w:rsidR="00BA2AE4">
        <w:rPr>
          <w:sz w:val="28"/>
          <w:szCs w:val="28"/>
          <w:lang w:val="uk-UA"/>
        </w:rPr>
        <w:t>3</w:t>
      </w:r>
      <w:r w:rsidRPr="000A3CC9">
        <w:rPr>
          <w:sz w:val="28"/>
          <w:szCs w:val="28"/>
          <w:lang w:val="uk-UA"/>
        </w:rPr>
        <w:t>,</w:t>
      </w:r>
      <w:r w:rsidR="00BA2AE4">
        <w:rPr>
          <w:sz w:val="28"/>
          <w:szCs w:val="28"/>
          <w:lang w:val="uk-UA"/>
        </w:rPr>
        <w:t>4</w:t>
      </w:r>
      <w:r w:rsidRPr="000A3CC9">
        <w:rPr>
          <w:sz w:val="28"/>
          <w:szCs w:val="28"/>
          <w:lang w:val="uk-UA"/>
        </w:rPr>
        <w:t>%.</w:t>
      </w:r>
    </w:p>
    <w:p w14:paraId="7279FDD0" w14:textId="13DA3BD8" w:rsidR="00184B36" w:rsidRPr="000A3CC9" w:rsidRDefault="00BA2AE4" w:rsidP="00184B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Велика</w:t>
      </w:r>
      <w:r w:rsidR="00184B36" w:rsidRPr="000A3CC9">
        <w:rPr>
          <w:sz w:val="28"/>
          <w:szCs w:val="28"/>
          <w:lang w:val="uk-UA"/>
        </w:rPr>
        <w:t xml:space="preserve">  кількість дітей з хворобами органів травлення (дисфункція жовчовивідних шляхів, функціональна диспепсія, хронічний </w:t>
      </w:r>
      <w:proofErr w:type="spellStart"/>
      <w:r w:rsidR="00184B36" w:rsidRPr="000A3CC9">
        <w:rPr>
          <w:sz w:val="28"/>
          <w:szCs w:val="28"/>
          <w:lang w:val="uk-UA"/>
        </w:rPr>
        <w:t>гастроуоденіт</w:t>
      </w:r>
      <w:proofErr w:type="spellEnd"/>
      <w:r w:rsidR="00184B36" w:rsidRPr="000A3CC9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37</w:t>
      </w:r>
      <w:r w:rsidR="00184B36" w:rsidRPr="000A3CC9">
        <w:rPr>
          <w:sz w:val="28"/>
          <w:szCs w:val="28"/>
          <w:lang w:val="uk-UA"/>
        </w:rPr>
        <w:t>% внаслідок нерегулярного і нераціонального харчування дітей вдома.</w:t>
      </w:r>
    </w:p>
    <w:p w14:paraId="4D0AFC90" w14:textId="77777777" w:rsidR="00184B36" w:rsidRPr="000A3CC9" w:rsidRDefault="00184B36" w:rsidP="00184B36">
      <w:pPr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t>Діти потребують контролю за дотриманням режиму дня(навчання та відпочинку), своєчасного раціонального харчування, адекватного фізичного навантаження, скорочення  часу використання   електронних  гаджетів.</w:t>
      </w:r>
    </w:p>
    <w:p w14:paraId="3987FEA6" w14:textId="017C9EA6" w:rsidR="00184B36" w:rsidRPr="000A3CC9" w:rsidRDefault="00184B36" w:rsidP="00184B36">
      <w:pPr>
        <w:ind w:firstLine="708"/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t xml:space="preserve">На диспансерному обліку у </w:t>
      </w:r>
      <w:proofErr w:type="spellStart"/>
      <w:r w:rsidRPr="000A3CC9">
        <w:rPr>
          <w:sz w:val="28"/>
          <w:szCs w:val="28"/>
          <w:lang w:val="uk-UA"/>
        </w:rPr>
        <w:t>фтізіатра</w:t>
      </w:r>
      <w:proofErr w:type="spellEnd"/>
      <w:r w:rsidRPr="000A3CC9">
        <w:rPr>
          <w:sz w:val="28"/>
          <w:szCs w:val="28"/>
          <w:lang w:val="uk-UA"/>
        </w:rPr>
        <w:t xml:space="preserve"> в 202</w:t>
      </w:r>
      <w:r w:rsidR="00BA2AE4">
        <w:rPr>
          <w:sz w:val="28"/>
          <w:szCs w:val="28"/>
          <w:lang w:val="uk-UA"/>
        </w:rPr>
        <w:t>3/</w:t>
      </w:r>
      <w:r w:rsidRPr="000A3CC9">
        <w:rPr>
          <w:sz w:val="28"/>
          <w:szCs w:val="28"/>
          <w:lang w:val="uk-UA"/>
        </w:rPr>
        <w:t>202</w:t>
      </w:r>
      <w:r w:rsidR="00BA2AE4">
        <w:rPr>
          <w:sz w:val="28"/>
          <w:szCs w:val="28"/>
          <w:lang w:val="uk-UA"/>
        </w:rPr>
        <w:t>4</w:t>
      </w:r>
      <w:r w:rsidRPr="000A3CC9">
        <w:rPr>
          <w:sz w:val="28"/>
          <w:szCs w:val="28"/>
          <w:lang w:val="uk-UA"/>
        </w:rPr>
        <w:t xml:space="preserve">  навчальному році знаходились 2 дитини з діагнозом віражу  туберкулінової проби та </w:t>
      </w:r>
      <w:r w:rsidR="00BA2AE4">
        <w:rPr>
          <w:sz w:val="28"/>
          <w:szCs w:val="28"/>
          <w:lang w:val="uk-UA"/>
        </w:rPr>
        <w:t>3</w:t>
      </w:r>
      <w:r w:rsidRPr="000A3CC9">
        <w:rPr>
          <w:sz w:val="28"/>
          <w:szCs w:val="28"/>
          <w:lang w:val="uk-UA"/>
        </w:rPr>
        <w:t xml:space="preserve"> дитини з діагнозом інфікування  туберкульозом. </w:t>
      </w:r>
    </w:p>
    <w:p w14:paraId="3140F415" w14:textId="2D087424" w:rsidR="00184B36" w:rsidRPr="000A3CC9" w:rsidRDefault="00184B36" w:rsidP="00184B36">
      <w:pPr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t>Протягом 202</w:t>
      </w:r>
      <w:r w:rsidR="00BA2AE4">
        <w:rPr>
          <w:sz w:val="28"/>
          <w:szCs w:val="28"/>
          <w:lang w:val="uk-UA"/>
        </w:rPr>
        <w:t>3</w:t>
      </w:r>
      <w:r w:rsidRPr="000A3CC9">
        <w:rPr>
          <w:sz w:val="28"/>
          <w:szCs w:val="28"/>
          <w:lang w:val="uk-UA"/>
        </w:rPr>
        <w:t>/202</w:t>
      </w:r>
      <w:r w:rsidR="00BA2AE4">
        <w:rPr>
          <w:sz w:val="28"/>
          <w:szCs w:val="28"/>
          <w:lang w:val="uk-UA"/>
        </w:rPr>
        <w:t>4</w:t>
      </w:r>
      <w:r w:rsidRPr="000A3CC9">
        <w:rPr>
          <w:sz w:val="28"/>
          <w:szCs w:val="28"/>
          <w:lang w:val="uk-UA"/>
        </w:rPr>
        <w:t xml:space="preserve"> </w:t>
      </w:r>
      <w:proofErr w:type="spellStart"/>
      <w:r w:rsidRPr="000A3CC9">
        <w:rPr>
          <w:sz w:val="28"/>
          <w:szCs w:val="28"/>
          <w:lang w:val="uk-UA"/>
        </w:rPr>
        <w:t>н.р</w:t>
      </w:r>
      <w:proofErr w:type="spellEnd"/>
      <w:r w:rsidRPr="000A3CC9">
        <w:rPr>
          <w:sz w:val="28"/>
          <w:szCs w:val="28"/>
          <w:lang w:val="uk-UA"/>
        </w:rPr>
        <w:t xml:space="preserve">. проводились протиепідемічні та санітарно-гігієнічні  заходи з метою попередження  інфекційних та паразитарних захворювань. </w:t>
      </w:r>
    </w:p>
    <w:p w14:paraId="23E091F0" w14:textId="77777777" w:rsidR="00184B36" w:rsidRPr="000A3CC9" w:rsidRDefault="00184B36" w:rsidP="00184B36">
      <w:pPr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t>Працівники закладу пройшли медичний огляд.</w:t>
      </w:r>
    </w:p>
    <w:p w14:paraId="794B6286" w14:textId="77777777" w:rsidR="00184B36" w:rsidRPr="000A3CC9" w:rsidRDefault="00184B36" w:rsidP="00184B36">
      <w:pPr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t>Матеріальна база медичних кабінетів  задовольняє потреби лікування дітей за профілем. Ефективність реабілітаційних заходів для оздоровлення дітей знижена через  воєнний стан в країні. Але потрібно поповнити медикаменти особливо по кардіологічному профілю.</w:t>
      </w:r>
    </w:p>
    <w:p w14:paraId="5C0FB3AD" w14:textId="77777777" w:rsidR="00184B36" w:rsidRPr="000A3CC9" w:rsidRDefault="00184B36" w:rsidP="00184B36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986"/>
        <w:gridCol w:w="986"/>
      </w:tblGrid>
      <w:tr w:rsidR="00184B36" w:rsidRPr="000A3CC9" w14:paraId="41412B06" w14:textId="77777777" w:rsidTr="00C75CA5">
        <w:tc>
          <w:tcPr>
            <w:tcW w:w="0" w:type="auto"/>
          </w:tcPr>
          <w:p w14:paraId="616CDD92" w14:textId="77777777" w:rsidR="00184B36" w:rsidRPr="000A3CC9" w:rsidRDefault="00184B36" w:rsidP="00C75CA5">
            <w:pPr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Ефективність реабілітації</w:t>
            </w:r>
          </w:p>
        </w:tc>
        <w:tc>
          <w:tcPr>
            <w:tcW w:w="0" w:type="auto"/>
          </w:tcPr>
          <w:p w14:paraId="287D0F32" w14:textId="47F47984" w:rsidR="00184B36" w:rsidRPr="000A3CC9" w:rsidRDefault="00184B36" w:rsidP="00C75CA5">
            <w:pPr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202</w:t>
            </w:r>
            <w:r w:rsidR="00BA2AE4">
              <w:rPr>
                <w:sz w:val="28"/>
                <w:szCs w:val="28"/>
                <w:lang w:val="uk-UA"/>
              </w:rPr>
              <w:t>3</w:t>
            </w:r>
            <w:r w:rsidRPr="000A3CC9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0" w:type="auto"/>
          </w:tcPr>
          <w:p w14:paraId="60BCACE1" w14:textId="13C5FDCE" w:rsidR="00184B36" w:rsidRPr="000A3CC9" w:rsidRDefault="00184B36" w:rsidP="00C75CA5">
            <w:pPr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202</w:t>
            </w:r>
            <w:r w:rsidR="00BA2AE4">
              <w:rPr>
                <w:sz w:val="28"/>
                <w:szCs w:val="28"/>
                <w:lang w:val="uk-UA"/>
              </w:rPr>
              <w:t>4</w:t>
            </w:r>
            <w:r w:rsidRPr="000A3CC9">
              <w:rPr>
                <w:sz w:val="28"/>
                <w:szCs w:val="28"/>
                <w:lang w:val="uk-UA"/>
              </w:rPr>
              <w:t>р.</w:t>
            </w:r>
          </w:p>
        </w:tc>
      </w:tr>
      <w:tr w:rsidR="00184B36" w:rsidRPr="000A3CC9" w14:paraId="1C575049" w14:textId="77777777" w:rsidTr="00C75CA5">
        <w:tc>
          <w:tcPr>
            <w:tcW w:w="0" w:type="auto"/>
          </w:tcPr>
          <w:p w14:paraId="7C1C659C" w14:textId="77777777" w:rsidR="00184B36" w:rsidRPr="000A3CC9" w:rsidRDefault="00184B36" w:rsidP="00C75CA5">
            <w:pPr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З покращенням</w:t>
            </w:r>
          </w:p>
        </w:tc>
        <w:tc>
          <w:tcPr>
            <w:tcW w:w="0" w:type="auto"/>
          </w:tcPr>
          <w:p w14:paraId="6873091B" w14:textId="59D88C0C" w:rsidR="00184B36" w:rsidRPr="000A3CC9" w:rsidRDefault="00184B36" w:rsidP="00C75CA5">
            <w:pPr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5</w:t>
            </w:r>
            <w:r w:rsidR="00BA2AE4">
              <w:rPr>
                <w:sz w:val="28"/>
                <w:szCs w:val="28"/>
                <w:lang w:val="uk-UA"/>
              </w:rPr>
              <w:t>1%</w:t>
            </w:r>
          </w:p>
        </w:tc>
        <w:tc>
          <w:tcPr>
            <w:tcW w:w="0" w:type="auto"/>
          </w:tcPr>
          <w:p w14:paraId="20313F55" w14:textId="7E6C0228" w:rsidR="00184B36" w:rsidRPr="000A3CC9" w:rsidRDefault="00BA2AE4" w:rsidP="00C75C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49%</w:t>
            </w:r>
          </w:p>
        </w:tc>
      </w:tr>
      <w:tr w:rsidR="00184B36" w:rsidRPr="000A3CC9" w14:paraId="77467ADC" w14:textId="77777777" w:rsidTr="00C75CA5">
        <w:tc>
          <w:tcPr>
            <w:tcW w:w="0" w:type="auto"/>
          </w:tcPr>
          <w:p w14:paraId="5CAFC108" w14:textId="77777777" w:rsidR="00184B36" w:rsidRPr="000A3CC9" w:rsidRDefault="00184B36" w:rsidP="00C75CA5">
            <w:pPr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Без динаміки</w:t>
            </w:r>
          </w:p>
        </w:tc>
        <w:tc>
          <w:tcPr>
            <w:tcW w:w="0" w:type="auto"/>
          </w:tcPr>
          <w:p w14:paraId="5D8D38CE" w14:textId="63819CDF" w:rsidR="00184B36" w:rsidRPr="000A3CC9" w:rsidRDefault="00184B36" w:rsidP="00C75CA5">
            <w:pPr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4</w:t>
            </w:r>
            <w:r w:rsidR="00BA2AE4">
              <w:rPr>
                <w:sz w:val="28"/>
                <w:szCs w:val="28"/>
                <w:lang w:val="uk-UA"/>
              </w:rPr>
              <w:t>9%</w:t>
            </w:r>
          </w:p>
        </w:tc>
        <w:tc>
          <w:tcPr>
            <w:tcW w:w="0" w:type="auto"/>
          </w:tcPr>
          <w:p w14:paraId="0DC91C11" w14:textId="109BAEFF" w:rsidR="00184B36" w:rsidRPr="000A3CC9" w:rsidRDefault="00BA2AE4" w:rsidP="00C75C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51%</w:t>
            </w:r>
          </w:p>
        </w:tc>
      </w:tr>
      <w:tr w:rsidR="00184B36" w:rsidRPr="000A3CC9" w14:paraId="765394D5" w14:textId="77777777" w:rsidTr="00C75CA5">
        <w:tc>
          <w:tcPr>
            <w:tcW w:w="0" w:type="auto"/>
          </w:tcPr>
          <w:p w14:paraId="65E43D16" w14:textId="77777777" w:rsidR="00184B36" w:rsidRPr="000A3CC9" w:rsidRDefault="00184B36" w:rsidP="00C75CA5">
            <w:pPr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З погіршенням</w:t>
            </w:r>
          </w:p>
        </w:tc>
        <w:tc>
          <w:tcPr>
            <w:tcW w:w="0" w:type="auto"/>
          </w:tcPr>
          <w:p w14:paraId="000855E1" w14:textId="77777777" w:rsidR="00184B36" w:rsidRPr="000A3CC9" w:rsidRDefault="00184B36" w:rsidP="00C75CA5">
            <w:pPr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</w:tcPr>
          <w:p w14:paraId="5AD346E5" w14:textId="77777777" w:rsidR="00184B36" w:rsidRPr="000A3CC9" w:rsidRDefault="00184B36" w:rsidP="00C75CA5">
            <w:pPr>
              <w:rPr>
                <w:sz w:val="28"/>
                <w:szCs w:val="28"/>
                <w:lang w:val="uk-UA"/>
              </w:rPr>
            </w:pPr>
            <w:r w:rsidRPr="000A3CC9">
              <w:rPr>
                <w:sz w:val="28"/>
                <w:szCs w:val="28"/>
                <w:lang w:val="uk-UA"/>
              </w:rPr>
              <w:t>-</w:t>
            </w:r>
          </w:p>
        </w:tc>
      </w:tr>
    </w:tbl>
    <w:p w14:paraId="7F81AE74" w14:textId="77777777" w:rsidR="00184B36" w:rsidRPr="000A3CC9" w:rsidRDefault="00184B36" w:rsidP="00184B36">
      <w:pPr>
        <w:rPr>
          <w:sz w:val="28"/>
          <w:szCs w:val="28"/>
          <w:lang w:val="uk-UA"/>
        </w:rPr>
      </w:pPr>
    </w:p>
    <w:p w14:paraId="352C009D" w14:textId="77777777" w:rsidR="00286B8A" w:rsidRDefault="00286B8A" w:rsidP="00286B8A">
      <w:pPr>
        <w:ind w:firstLine="708"/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t xml:space="preserve">Лікарем, </w:t>
      </w:r>
      <w:proofErr w:type="spellStart"/>
      <w:r w:rsidRPr="000A3CC9">
        <w:rPr>
          <w:sz w:val="28"/>
          <w:szCs w:val="28"/>
          <w:lang w:val="uk-UA"/>
        </w:rPr>
        <w:t>бібліотекарем</w:t>
      </w:r>
      <w:proofErr w:type="spellEnd"/>
      <w:r w:rsidRPr="000A3CC9">
        <w:rPr>
          <w:sz w:val="28"/>
          <w:szCs w:val="28"/>
          <w:lang w:val="uk-UA"/>
        </w:rPr>
        <w:t xml:space="preserve"> та педагогами проводилась санітарно-просв</w:t>
      </w:r>
      <w:r>
        <w:rPr>
          <w:sz w:val="28"/>
          <w:szCs w:val="28"/>
          <w:lang w:val="uk-UA"/>
        </w:rPr>
        <w:t xml:space="preserve">ітницька робота: </w:t>
      </w:r>
    </w:p>
    <w:p w14:paraId="742051A9" w14:textId="77777777" w:rsidR="00286B8A" w:rsidRDefault="00286B8A" w:rsidP="00286B8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-з 07.09. по 31.12.2023р.  тематична експозиція «Стежинами здоров’я» для учнів 1-11 класів </w:t>
      </w:r>
    </w:p>
    <w:p w14:paraId="16E9BD4E" w14:textId="77777777" w:rsidR="00286B8A" w:rsidRDefault="00286B8A" w:rsidP="00286B8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-21.09.2023р.  для учнів 1-11 класів випущено інформаційний бюлетень  «Питання вакцинації та профілактики </w:t>
      </w: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>», який було розміщено  також на сайті санаторної школи</w:t>
      </w:r>
    </w:p>
    <w:p w14:paraId="20100505" w14:textId="77777777" w:rsidR="00286B8A" w:rsidRDefault="00286B8A" w:rsidP="00286B8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-27.11.2023р.  проведено виступ агітбригади «Скажемо палінню «Ні!» для учнів 8-11 класів</w:t>
      </w:r>
    </w:p>
    <w:p w14:paraId="219D66B0" w14:textId="77777777" w:rsidR="00286B8A" w:rsidRDefault="00286B8A" w:rsidP="00286B8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-27.12.2023р. лікарем школи проведено просвітницький лікнеп «Комп’ютерна залежність» для учнів 7-11 класів</w:t>
      </w:r>
    </w:p>
    <w:p w14:paraId="2E79278F" w14:textId="77777777" w:rsidR="00286B8A" w:rsidRDefault="00286B8A" w:rsidP="00286B8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-15.01.2024р. видані 1-11 класам інформаційні пам’ятки «Скажи наркотикам «Ні!» та «Про шкідливість наркотиків»</w:t>
      </w:r>
    </w:p>
    <w:p w14:paraId="78EF6692" w14:textId="77777777" w:rsidR="00286B8A" w:rsidRDefault="00286B8A" w:rsidP="00286B8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-12.04.2024р. для 1-11 класів випущено інформаційний бюлетень «Що треба знати про туберкульоз?»(до Всесвітнього дня боротьби з туберкульозом)</w:t>
      </w:r>
    </w:p>
    <w:p w14:paraId="133EF623" w14:textId="77777777" w:rsidR="00286B8A" w:rsidRDefault="00286B8A" w:rsidP="00286B8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-10.04.2024р.для учнів 6-11 класів проводилось обговорення  у </w:t>
      </w:r>
      <w:proofErr w:type="spellStart"/>
      <w:r>
        <w:rPr>
          <w:sz w:val="28"/>
          <w:szCs w:val="28"/>
          <w:lang w:val="uk-UA"/>
        </w:rPr>
        <w:t>Вайбер</w:t>
      </w:r>
      <w:proofErr w:type="spellEnd"/>
      <w:r>
        <w:rPr>
          <w:sz w:val="28"/>
          <w:szCs w:val="28"/>
          <w:lang w:val="uk-UA"/>
        </w:rPr>
        <w:t xml:space="preserve">-групах відеоролика «Виклики </w:t>
      </w:r>
      <w:proofErr w:type="spellStart"/>
      <w:r>
        <w:rPr>
          <w:sz w:val="28"/>
          <w:szCs w:val="28"/>
          <w:lang w:val="uk-UA"/>
        </w:rPr>
        <w:t>життя.Про</w:t>
      </w:r>
      <w:proofErr w:type="spellEnd"/>
      <w:r>
        <w:rPr>
          <w:sz w:val="28"/>
          <w:szCs w:val="28"/>
          <w:lang w:val="uk-UA"/>
        </w:rPr>
        <w:t xml:space="preserve"> шкоду лихослів’я»</w:t>
      </w:r>
    </w:p>
    <w:p w14:paraId="7175635F" w14:textId="77777777" w:rsidR="00286B8A" w:rsidRDefault="00286B8A" w:rsidP="00286B8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-10.05.2024р. для 1-11 класів та їх батьків надані інформаційні матеріали (посилання) на сайт школи</w:t>
      </w:r>
    </w:p>
    <w:p w14:paraId="3F72185E" w14:textId="77777777" w:rsidR="00286B8A" w:rsidRDefault="00286B8A" w:rsidP="00286B8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«сайт ХОБД :</w:t>
      </w:r>
      <w:proofErr w:type="spellStart"/>
      <w:r>
        <w:rPr>
          <w:sz w:val="28"/>
          <w:szCs w:val="28"/>
          <w:lang w:val="uk-UA"/>
        </w:rPr>
        <w:t>Рубрека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Бібліомістечко</w:t>
      </w:r>
      <w:proofErr w:type="spellEnd"/>
      <w:r>
        <w:rPr>
          <w:sz w:val="28"/>
          <w:szCs w:val="28"/>
          <w:lang w:val="uk-UA"/>
        </w:rPr>
        <w:t xml:space="preserve">» розділ «Здоров’я та розвиток </w:t>
      </w:r>
      <w:proofErr w:type="spellStart"/>
      <w:r>
        <w:rPr>
          <w:sz w:val="28"/>
          <w:szCs w:val="28"/>
          <w:lang w:val="uk-UA"/>
        </w:rPr>
        <w:t>дитини.Медичні</w:t>
      </w:r>
      <w:proofErr w:type="spellEnd"/>
      <w:r>
        <w:rPr>
          <w:sz w:val="28"/>
          <w:szCs w:val="28"/>
          <w:lang w:val="uk-UA"/>
        </w:rPr>
        <w:t xml:space="preserve"> поради лікаря»</w:t>
      </w:r>
    </w:p>
    <w:p w14:paraId="171D9482" w14:textId="77777777" w:rsidR="00286B8A" w:rsidRPr="000A3CC9" w:rsidRDefault="00286B8A" w:rsidP="00286B8A">
      <w:pPr>
        <w:ind w:firstLine="708"/>
        <w:rPr>
          <w:sz w:val="28"/>
          <w:szCs w:val="28"/>
          <w:lang w:val="uk-UA"/>
        </w:rPr>
      </w:pPr>
    </w:p>
    <w:p w14:paraId="64D70834" w14:textId="77777777" w:rsidR="00286B8A" w:rsidRDefault="00286B8A" w:rsidP="00286B8A">
      <w:pPr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t>Медичн</w:t>
      </w:r>
      <w:r>
        <w:rPr>
          <w:sz w:val="28"/>
          <w:szCs w:val="28"/>
          <w:lang w:val="uk-UA"/>
        </w:rPr>
        <w:t xml:space="preserve">і працівники регулярно проходять </w:t>
      </w:r>
      <w:r w:rsidRPr="000A3CC9">
        <w:rPr>
          <w:sz w:val="28"/>
          <w:szCs w:val="28"/>
          <w:lang w:val="uk-UA"/>
        </w:rPr>
        <w:t xml:space="preserve"> курсову перепідготовку в медичних закладах.</w:t>
      </w:r>
    </w:p>
    <w:p w14:paraId="2862AFF3" w14:textId="77777777" w:rsidR="00286B8A" w:rsidRPr="000A3CC9" w:rsidRDefault="00286B8A" w:rsidP="00286B8A">
      <w:pPr>
        <w:rPr>
          <w:sz w:val="28"/>
          <w:szCs w:val="28"/>
          <w:lang w:val="uk-UA"/>
        </w:rPr>
      </w:pPr>
    </w:p>
    <w:p w14:paraId="6D04B6D2" w14:textId="77777777" w:rsidR="00286B8A" w:rsidRPr="00085C74" w:rsidRDefault="00286B8A" w:rsidP="00286B8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85C74">
        <w:rPr>
          <w:b/>
          <w:sz w:val="28"/>
          <w:szCs w:val="28"/>
          <w:lang w:val="uk-UA"/>
        </w:rPr>
        <w:t>Завдання</w:t>
      </w:r>
      <w:r>
        <w:rPr>
          <w:sz w:val="28"/>
          <w:szCs w:val="28"/>
          <w:lang w:val="uk-UA"/>
        </w:rPr>
        <w:t xml:space="preserve"> </w:t>
      </w:r>
      <w:r w:rsidRPr="00085C74">
        <w:rPr>
          <w:b/>
          <w:sz w:val="28"/>
          <w:szCs w:val="28"/>
          <w:lang w:val="uk-UA"/>
        </w:rPr>
        <w:t>лікувально-оздор</w:t>
      </w:r>
      <w:r>
        <w:rPr>
          <w:b/>
          <w:sz w:val="28"/>
          <w:szCs w:val="28"/>
          <w:lang w:val="uk-UA"/>
        </w:rPr>
        <w:t>овчого процесу в закладі на 2024/2025</w:t>
      </w:r>
      <w:r w:rsidRPr="00085C74">
        <w:rPr>
          <w:b/>
          <w:sz w:val="28"/>
          <w:szCs w:val="28"/>
          <w:lang w:val="uk-UA"/>
        </w:rPr>
        <w:t xml:space="preserve"> навчальний рік:</w:t>
      </w:r>
    </w:p>
    <w:p w14:paraId="68E6834F" w14:textId="77777777" w:rsidR="00286B8A" w:rsidRDefault="00286B8A" w:rsidP="00286B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наладити тісний онлайн-зв'язок з батьками, особливо тих дітей, які знаходяться за кордоном;</w:t>
      </w:r>
    </w:p>
    <w:p w14:paraId="6E4852A0" w14:textId="77777777" w:rsidR="00286B8A" w:rsidRDefault="00286B8A" w:rsidP="00286B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провести практичні  заняття з педагогами закладу з метою навчання надавати </w:t>
      </w:r>
      <w:proofErr w:type="spellStart"/>
      <w:r>
        <w:rPr>
          <w:sz w:val="28"/>
          <w:szCs w:val="28"/>
          <w:lang w:val="uk-UA"/>
        </w:rPr>
        <w:t>домедичну</w:t>
      </w:r>
      <w:proofErr w:type="spellEnd"/>
      <w:r>
        <w:rPr>
          <w:sz w:val="28"/>
          <w:szCs w:val="28"/>
          <w:lang w:val="uk-UA"/>
        </w:rPr>
        <w:t xml:space="preserve"> допомогу;</w:t>
      </w:r>
    </w:p>
    <w:p w14:paraId="6796B7AA" w14:textId="77777777" w:rsidR="00286B8A" w:rsidRDefault="00286B8A" w:rsidP="00286B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практиці реалізовувати Програму Президента « Здорова Україна»;</w:t>
      </w:r>
    </w:p>
    <w:p w14:paraId="1C10D232" w14:textId="77777777" w:rsidR="00286B8A" w:rsidRDefault="00286B8A" w:rsidP="00286B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популяризувати рухову активність учасників освітнього процесу через всі доступні інтернет-ресурси;</w:t>
      </w:r>
    </w:p>
    <w:p w14:paraId="4C5C8F0C" w14:textId="77777777" w:rsidR="00286B8A" w:rsidRDefault="00286B8A" w:rsidP="00286B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надавати дітям соціально-психологічну підтримку;</w:t>
      </w:r>
    </w:p>
    <w:p w14:paraId="15E892C2" w14:textId="77777777" w:rsidR="00286B8A" w:rsidRPr="000A3CC9" w:rsidRDefault="00286B8A" w:rsidP="00286B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розробити нові методики проведення уроків фізичної культури та лікувальної фізичної культури в дистанційному форматі;</w:t>
      </w:r>
    </w:p>
    <w:p w14:paraId="1652D653" w14:textId="77777777" w:rsidR="00286B8A" w:rsidRPr="000A3CC9" w:rsidRDefault="00286B8A" w:rsidP="00286B8A">
      <w:pPr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t>-  індивідуальну реабілітаційну роботу з учнями здійснювати  відповідно до ї</w:t>
      </w:r>
      <w:r>
        <w:rPr>
          <w:sz w:val="28"/>
          <w:szCs w:val="28"/>
          <w:lang w:val="uk-UA"/>
        </w:rPr>
        <w:t>х</w:t>
      </w:r>
      <w:r w:rsidRPr="000A3CC9">
        <w:rPr>
          <w:sz w:val="28"/>
          <w:szCs w:val="28"/>
          <w:lang w:val="uk-UA"/>
        </w:rPr>
        <w:t xml:space="preserve"> діагноз</w:t>
      </w:r>
      <w:r>
        <w:rPr>
          <w:sz w:val="28"/>
          <w:szCs w:val="28"/>
          <w:lang w:val="uk-UA"/>
        </w:rPr>
        <w:t>ів</w:t>
      </w:r>
      <w:r w:rsidRPr="000A3CC9">
        <w:rPr>
          <w:sz w:val="28"/>
          <w:szCs w:val="28"/>
          <w:lang w:val="uk-UA"/>
        </w:rPr>
        <w:t>(стану здоров’я)</w:t>
      </w:r>
      <w:r>
        <w:rPr>
          <w:sz w:val="28"/>
          <w:szCs w:val="28"/>
          <w:lang w:val="uk-UA"/>
        </w:rPr>
        <w:t>;</w:t>
      </w:r>
    </w:p>
    <w:p w14:paraId="02F4EA53" w14:textId="77777777" w:rsidR="00286B8A" w:rsidRPr="000A3CC9" w:rsidRDefault="00286B8A" w:rsidP="00286B8A">
      <w:pPr>
        <w:rPr>
          <w:sz w:val="28"/>
          <w:szCs w:val="28"/>
          <w:lang w:val="uk-UA"/>
        </w:rPr>
      </w:pPr>
      <w:r w:rsidRPr="000A3CC9">
        <w:rPr>
          <w:sz w:val="28"/>
          <w:szCs w:val="28"/>
          <w:lang w:val="uk-UA"/>
        </w:rPr>
        <w:t xml:space="preserve">-  вирішити  кадрові питання  і поповнення матеріальної бази  </w:t>
      </w:r>
      <w:proofErr w:type="spellStart"/>
      <w:r w:rsidRPr="000A3CC9">
        <w:rPr>
          <w:sz w:val="28"/>
          <w:szCs w:val="28"/>
          <w:lang w:val="uk-UA"/>
        </w:rPr>
        <w:t>медблоку</w:t>
      </w:r>
      <w:proofErr w:type="spellEnd"/>
      <w:r w:rsidRPr="000A3CC9">
        <w:rPr>
          <w:sz w:val="28"/>
          <w:szCs w:val="28"/>
          <w:lang w:val="uk-UA"/>
        </w:rPr>
        <w:t>.</w:t>
      </w:r>
    </w:p>
    <w:p w14:paraId="08CE2029" w14:textId="77777777" w:rsidR="00286B8A" w:rsidRPr="00EB3722" w:rsidRDefault="00286B8A" w:rsidP="00286B8A">
      <w:pPr>
        <w:rPr>
          <w:lang w:val="uk-UA"/>
        </w:rPr>
      </w:pPr>
    </w:p>
    <w:p w14:paraId="6E75633A" w14:textId="77777777" w:rsidR="00000000" w:rsidRPr="00184B36" w:rsidRDefault="00000000">
      <w:pPr>
        <w:rPr>
          <w:lang w:val="uk-UA"/>
        </w:rPr>
      </w:pPr>
    </w:p>
    <w:sectPr w:rsidR="005B663C" w:rsidRPr="00184B36" w:rsidSect="00184B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36"/>
    <w:rsid w:val="00184B36"/>
    <w:rsid w:val="001E5268"/>
    <w:rsid w:val="002041D2"/>
    <w:rsid w:val="00286B8A"/>
    <w:rsid w:val="002A2183"/>
    <w:rsid w:val="00393936"/>
    <w:rsid w:val="00B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B5D2"/>
  <w15:chartTrackingRefBased/>
  <w15:docId w15:val="{C2646590-8C26-42D3-8F3D-2F554A6B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серцевосудиної паталогії на 2023/2024 н.р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3">
                      <a:shade val="53000"/>
                      <a:lumMod val="60000"/>
                      <a:lumOff val="40000"/>
                    </a:schemeClr>
                  </a:gs>
                  <a:gs pos="0">
                    <a:schemeClr val="accent3">
                      <a:shade val="53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56-450B-986E-81452C68BB4C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3">
                      <a:shade val="76000"/>
                      <a:lumMod val="60000"/>
                      <a:lumOff val="40000"/>
                    </a:schemeClr>
                  </a:gs>
                  <a:gs pos="0">
                    <a:schemeClr val="accent3">
                      <a:shade val="76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56-450B-986E-81452C68BB4C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56-450B-986E-81452C68BB4C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3">
                      <a:tint val="77000"/>
                      <a:lumMod val="60000"/>
                      <a:lumOff val="40000"/>
                    </a:schemeClr>
                  </a:gs>
                  <a:gs pos="0">
                    <a:schemeClr val="accent3">
                      <a:tint val="77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56-450B-986E-81452C68BB4C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3">
                      <a:tint val="54000"/>
                      <a:lumMod val="60000"/>
                      <a:lumOff val="40000"/>
                    </a:schemeClr>
                  </a:gs>
                  <a:gs pos="0">
                    <a:schemeClr val="accent3">
                      <a:tint val="54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656-450B-986E-81452C68BB4C}"/>
              </c:ext>
            </c:extLst>
          </c:dPt>
          <c:dLbls>
            <c:dLbl>
              <c:idx val="0"/>
              <c:layout>
                <c:manualLayout>
                  <c:x val="-0.11350721784776903"/>
                  <c:y val="8.55011873515810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56-450B-986E-81452C68BB4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E656-450B-986E-81452C68BB4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E656-450B-986E-81452C68BB4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656-450B-986E-81452C68BB4C}"/>
                </c:ext>
              </c:extLst>
            </c:dLbl>
            <c:dLbl>
              <c:idx val="4"/>
              <c:layout>
                <c:manualLayout>
                  <c:x val="8.3783355205599375E-2"/>
                  <c:y val="0.12311679790026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56-450B-986E-81452C68BB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Диспластична кардіопатія, ПМК</c:v>
                </c:pt>
                <c:pt idx="1">
                  <c:v>Вторинна кардіоміопатія</c:v>
                </c:pt>
                <c:pt idx="2">
                  <c:v>Вроджені вади серця та судин </c:v>
                </c:pt>
                <c:pt idx="3">
                  <c:v>Порушушення ритму та провідності</c:v>
                </c:pt>
                <c:pt idx="4">
                  <c:v>Вегетативна дисфункція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0.32800000000000001</c:v>
                </c:pt>
                <c:pt idx="1">
                  <c:v>7.6999999999999999E-2</c:v>
                </c:pt>
                <c:pt idx="2">
                  <c:v>0.14799999999999999</c:v>
                </c:pt>
                <c:pt idx="3">
                  <c:v>0.13600000000000001</c:v>
                </c:pt>
                <c:pt idx="4">
                  <c:v>0.311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56-450B-986E-81452C68BB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3524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Evgeniy</cp:lastModifiedBy>
  <cp:revision>2</cp:revision>
  <dcterms:created xsi:type="dcterms:W3CDTF">2024-07-10T08:56:00Z</dcterms:created>
  <dcterms:modified xsi:type="dcterms:W3CDTF">2024-07-10T08:56:00Z</dcterms:modified>
</cp:coreProperties>
</file>